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HKT tagság alatt végzett közösségi tevékenység igazolás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Alulírottak igazoljuk,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4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Szervezet vezetőjének neve</w:t>
        <w:tab/>
        <w:t xml:space="preserve">Egyetemi Hallgatói Képviselet 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elnökének neve</w:t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Szervezet vezetőjének aláírása</w:t>
        <w:tab/>
        <w:t xml:space="preserve">Egyetemi Hallgatói Képviselet 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elnökének aláírása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839" ProgID="MSPhotoEd.3" ShapeID="_x0000_s1027" Type="Embed"/>
      </w:pic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Q0Bol2YPASBPxxsWPF2PqQ+Eiw==">CgMxLjAaHwoBMBIaChgICVIUChJ0YWJsZS5tNTl1czhuanprZzk4AHIhMWxXaV9sQ2xkZ0ZjcWJ5NzllQWF0VG16Z1RTU242dE1H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2025-03-06T15:14:00Z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